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F549E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Thovt</w:t>
      </w:r>
      <w:proofErr w:type="spellEnd"/>
    </w:p>
    <w:p w14:paraId="432DF343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54DA1E37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Bůh 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egyptsky 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Džehuti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se objevuje v egyptských textech už od </w:t>
      </w:r>
      <w:hyperlink r:id="rId5" w:tooltip="Stará říše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Máme dochováno mnoho způsobů zápisu, výslovnost jména jako „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“ pochází z </w:t>
      </w:r>
      <w:hyperlink r:id="rId6" w:tooltip="Koptština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koptštiny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Samotný význam jména tohoto boha je ovšem dosud nejasný.</w:t>
      </w:r>
      <w:hyperlink r:id="rId7" w:anchor="cite_note-1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EC60BC1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1EBDDAE9" w14:textId="23ADDFB2" w:rsidR="00924E5A" w:rsidRPr="00924E5A" w:rsidRDefault="00924E5A" w:rsidP="00924E5A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775ED49C" wp14:editId="1AA4145C">
            <wp:extent cx="741045" cy="1426845"/>
            <wp:effectExtent l="0" t="0" r="0" b="1905"/>
            <wp:docPr id="12" name="Obrázek 1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4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3D06B" w14:textId="77777777" w:rsidR="00924E5A" w:rsidRPr="00924E5A" w:rsidRDefault="00924E5A" w:rsidP="00924E5A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924E5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924E5A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Thovta</w:t>
      </w:r>
      <w:proofErr w:type="spellEnd"/>
    </w:p>
    <w:p w14:paraId="7FDF866A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Doklady o významu boha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pocházejí už ze Staré říše, kdy se jeho jméno často objevuje v </w:t>
      </w:r>
      <w:hyperlink r:id="rId10" w:tooltip="Texty pyramid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Někdy je uváděn jako jeden z členů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"https://wikisofia.cz/wiki/H%C3%A9liopolsk%C3%A1_kosmogonie" \o "Héliopolská kosmogonie"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hélipolského</w:t>
      </w:r>
      <w:proofErr w:type="spellEnd"/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Devatera</w: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obvykle nahrazuje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"https://wikisofia.cz/wiki/Hermopolsk%C3%A1_kosmogonie" \o "Hermopolská kosmogonie"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hermopolské</w:t>
      </w:r>
      <w:proofErr w:type="spellEnd"/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kosmogonii</w: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objevuje jako stvořitel, který spolu s Osmerem stojí na počátku světa a stvořený kosmos uspořádává. Bývá označován za syna slunečního boha </w:t>
      </w:r>
      <w:hyperlink r:id="rId11" w:tooltip="Re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ale je spojován i s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"https://wikisofia.cz/wiki/Usir" \o "Usir"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Usirem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podle </w:t>
      </w:r>
      <w:hyperlink r:id="rId12" w:tooltip="Spor Hora se Sutechem (stránka neexistuje)" w:history="1">
        <w:r w:rsidRPr="00924E5A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Sporu Hora se </w:t>
        </w:r>
        <w:proofErr w:type="spellStart"/>
        <w:r w:rsidRPr="00924E5A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Sutechem</w:t>
        </w:r>
        <w:proofErr w:type="spellEnd"/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ovšem zrodil z </w:t>
      </w:r>
      <w:hyperlink r:id="rId13" w:tooltip="Hor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Horova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semene, které spolkl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"https://wikisofia.cz/wiki/Sutech" \o "Sutech"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Sutech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podle pozdější verze tohoto mýtu se takto zrodil měsíc, který si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posadil na hlavu. Pokud se objevuje ve společnosti ženských božstev, jedná se většinou o bohyně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"https://wikisofia.cz/wiki/Maat" \o "Maat"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Maat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- patronku spravedlnosti a personifikovaný řád světa, nebo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"https://wikisofia.cz/wiki/Se%C5%A1at" \o "Sešat"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Sešat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- patronku písma, přesnosti a měření.</w:t>
      </w:r>
      <w:hyperlink r:id="rId14" w:anchor="cite_note-:0-2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3D347FED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Měsíc</w:t>
      </w:r>
    </w:p>
    <w:p w14:paraId="221C84D6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původně zřejmě měsíčním božstvem</w:t>
      </w:r>
      <w:hyperlink r:id="rId15" w:anchor="cite_note-:1-3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tudíž je měsíc jedním z jeho nejvýznamnějších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atributů.Obvykle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zobrazován jako kotouč nad jeho hlavou.</w:t>
      </w:r>
    </w:p>
    <w:p w14:paraId="3B20C223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Thovtova</w:t>
      </w:r>
      <w:proofErr w:type="spellEnd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posvátná zvířata</w:t>
      </w:r>
    </w:p>
    <w:p w14:paraId="72C47B9F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Dalším významným symbolem boha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ibis, přičemž standarda s ibisem se objevuje už v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předdynastické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době, jedná se tedy o velmi starý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kult.Dalším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posvátným zvířetem tohoto boha byl pavián, a v podobě těchto dvou živočichů je také často znázorňován – objevuje se jako sedící pavián, ovšem velmi často je zobrazován jako muž s hlavou ibise.</w:t>
      </w:r>
      <w:hyperlink r:id="rId16" w:anchor="cite_note-:1-3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76C78AD4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Písmo a magická slova</w:t>
      </w:r>
    </w:p>
    <w:p w14:paraId="6025E1D2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Významnou funkcí tohoto boha byl patronát nad písmem, písaři, a všeobecně slovy, ať už se jednalo o běžné záznamy nebo slova magická.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považován za vynálezce písma, které tak v sobě obsahovalo magickou božskou moc – ne nadarmo nazývali Egypťané hieroglyfy </w:t>
      </w:r>
      <w:r w:rsidRPr="00924E5A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 xml:space="preserve">medu </w:t>
      </w:r>
      <w:proofErr w:type="spellStart"/>
      <w:r w:rsidRPr="00924E5A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nečer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slova bohů. Byl ochráncem všech psaných záznamů a moudrosti v nich obsažené, a jako takový byl nejen ochránce písařských dílen, ale i božský vezír a strážce všeho vědění. Často tak bývá zobrazován jako božský písař s paletou a pisátkem, někdy ovšem také ve své podobě paviána sedí u nohou obyčejných písařů.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také zmiňován jako jedno z božstev čtyř světových stran, a to spolu s Horem,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Dunanuejem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7" w:anchor="cite_note-:0-2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28552A67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Hermés</w:t>
      </w:r>
      <w:proofErr w:type="spellEnd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Trismegistos</w:t>
      </w:r>
      <w:proofErr w:type="spellEnd"/>
    </w:p>
    <w:p w14:paraId="66488795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pozdějších obdobích Řekové ztotožnili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svým bohem Hermem, a později se objevuje jako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Hermés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Trismegistos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(„Třikrát velký“), mudrc a mág, vystupující v řeckých hermetických textech, které měly mít podle dobových představ původ v Egyptě a také údajně obsahovaly tajné vědění, pocházející právě od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7865AFD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485D590D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Spor Hora se 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</w:p>
    <w:p w14:paraId="402E29F4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 sporu Hora se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jehož předmětem je spor o nástupnictví na egyptském trůnu po smrti boha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mezi jeho synem Horem a bratrem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kteří o úřad vládce soupeří, vystupuje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opět ve své roli písaře, který zapisuje dopisy bohů, které si mezi sebou posílají, a následně přede všemi předčítá odpovědi. Důležitou úlohu zde ovšem hraje i ve chvíli, kdy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vyrve Horovi oko, které roztrhá na několik kusů,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jej opět dá dohromady. V tomto případě jde zřejmě o etiologický mýtus o dorůstání a ubývání měsíce.</w:t>
      </w:r>
      <w:hyperlink r:id="rId18" w:anchor="cite_note-:0-2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60C5480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Thovtova</w:t>
      </w:r>
      <w:proofErr w:type="spellEnd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tajná kniha</w:t>
      </w:r>
    </w:p>
    <w:p w14:paraId="62128AB0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Od </w:t>
      </w:r>
      <w:hyperlink r:id="rId19" w:tooltip="Střední říše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objevují zmínky 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Thovtově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tajné knize, která měla údajně obsahovat veškeré vědění světa, zřejmě mělo jít o jakési nábožensko-magické texty, sepsané právě samotným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Tato kniha měla být pečlivě uschována a strážena před smrtelníky. Zmínky o ní se často objevují i v egyptských narativních textech, kdy je ovšem vždy naznačeno, že je dobře střežena a nepatří do rukou ani mocným panovníkům nebo kněžím. Tak například v jedné z povídek na </w:t>
      </w:r>
      <w:hyperlink r:id="rId20" w:tooltip="Papyrus Westcar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 xml:space="preserve">papyru </w:t>
        </w:r>
        <w:proofErr w:type="spellStart"/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Westcar</w:t>
        </w:r>
        <w:proofErr w:type="spellEnd"/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chce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tajemství odhalit faraon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"https://wikisofia.cz/wiki/Chufu" \o "Chufu"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Chufu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 ani největší mudrc v zemi, kouzelník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Džedi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mu ji nemůže přinést</w:t>
      </w:r>
      <w:hyperlink r:id="rId21" w:anchor="cite_note-4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v démotické povídce o </w:t>
      </w:r>
      <w:hyperlink r:id="rId22" w:tooltip="Setne Chamuaset (stránka neexistuje)" w:history="1">
        <w:r w:rsidRPr="00924E5A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 xml:space="preserve">Setne </w:t>
        </w:r>
        <w:proofErr w:type="spellStart"/>
        <w:r w:rsidRPr="00924E5A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Chamuasetovi</w:t>
        </w:r>
        <w:proofErr w:type="spellEnd"/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vypráví o tom, co se stane, když se někdo pokusí přinést knihu do lidského světa a získat její moc pro sebe.</w:t>
      </w:r>
      <w:hyperlink r:id="rId23" w:anchor="cite_note-5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Otázkou ovšem zůstává, co si vlastně sami Egypťané pod touto knihou představovali, co měla obsahovat a co v ní naopak nebylo zapsáno.</w:t>
      </w:r>
    </w:p>
    <w:p w14:paraId="7C5F7A1E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Hledání lví bohyně v poušti</w:t>
      </w:r>
    </w:p>
    <w:p w14:paraId="75DCDE96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některých mýtů měl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bohem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na rozkaz Rea hledat a přivést zpět bohyni v podobě zuřícího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oka (která je ztotožňována s různými egyptskými bohyněmi), který utekla do núbijské pouště.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tuto bohyni najdou, ale ta je proměněna v divokou kočku a nemá v úmyslu se do Egypta vrátit,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ji musí pomocí veškeré své moudrosti přesvědčit.</w:t>
      </w:r>
      <w:hyperlink r:id="rId24" w:anchor="cite_note-:2-6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35540CEA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Strom 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išed</w:t>
      </w:r>
      <w:proofErr w:type="spellEnd"/>
    </w:p>
    <w:p w14:paraId="7480408D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Jako božský písař a ten, který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zaznemanává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běh času, se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často objevuje ve scéně, kdy spolu s bohyní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patronkou písma a přesného měření, zapisují roky vlády egyptského krále na listy posvátného stromu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išed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7394F5D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Zásvětní říše a posmrtný soud</w:t>
      </w:r>
    </w:p>
    <w:p w14:paraId="6CA6A396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Velmi důležitou úlohu hraje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egyptských představách o posmrtném soudu. Vystupuje zde jako zapisovatel a ten, kdo kontroluje vážení srdce člověka před božským tribunálem, před kterým musel zemřelý a jeho skutky, které vykonal na zemi, obstát. Pokud se tak stalo, sám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zemřelému srdce vracel – někdy se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i jako ten, kdo dává opět dohromady tělo zesnulého, podobně, jako spojil opět dohromady Horovo oko.</w:t>
      </w:r>
    </w:p>
    <w:p w14:paraId="4FDE949F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Už od Textů pyramid se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jako jakýsi průvodce zemřelých, který je vynáší na svých křídlech na nebesa. V zásvětních textech se také často objevuje říkání, aby zemřelý poznal vše, co ví sám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díky tomuto vědění pak přestál nástrahy v říši mrtvých. </w:t>
      </w:r>
      <w:hyperlink r:id="rId25" w:anchor="cite_note-:2-6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28F87D97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Ochránce Rea v podsvětí</w:t>
      </w:r>
    </w:p>
    <w:p w14:paraId="5FF6DDEC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ve spojení se slunečním bohem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už od Textů pyramid, ale od </w:t>
      </w:r>
      <w:hyperlink r:id="rId26" w:tooltip="Nová říše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často objevuje jako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Reův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průvodce na jeho cestě podsvětním, kde jej ochraňuje pomocí svých vědomostí a magie, kterou ovládal. Bývá zobrazován na sluneční bárce spolu 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Reem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často je doprovází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Maat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personifikovaná spravedlnost a řád, a také Hu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– Výrok a Vědění.</w:t>
      </w:r>
    </w:p>
    <w:p w14:paraId="1CAC9F4C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Vznik pěti </w:t>
      </w:r>
      <w:proofErr w:type="spellStart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epagomenálních</w:t>
      </w:r>
      <w:proofErr w:type="spellEnd"/>
      <w:r w:rsidRPr="00924E5A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dní</w:t>
      </w:r>
    </w:p>
    <w:p w14:paraId="2567E40D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pozdějšího mýtu, který zapsal řecký spisovatel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vertAlign w:val="superscript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vertAlign w:val="superscript"/>
          <w:lang w:eastAsia="cs-CZ"/>
          <w14:ligatures w14:val="none"/>
        </w:rPr>
        <w:instrText xml:space="preserve"> HYPERLINK "https://wikisofia.cz/wiki/Thovt" \l "cite_note-7"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vertAlign w:val="superscript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vertAlign w:val="superscript"/>
          <w:lang w:eastAsia="cs-CZ"/>
          <w14:ligatures w14:val="none"/>
        </w:rPr>
        <w:t>[7]</w: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vertAlign w:val="superscript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hraje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významnou roli při zrození několika prvotních bohů. Podle tohoto příběhu se sluneční bůh Re bál moci dětí bohyně nebes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tolik, že ji proklel, aby nemohla své potomky přivést na svět v žádném dni z 360 dní roku. Moudrý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rozhodl, že nebeské bohyni pomůže, vydal za božstvem měsíce a vyzval ho ke hře, v jejímž každém kole hráli doslova a do písmene o čas – vítěz každého kola získal část měsíčního svitu, a tedy čas jednoho dne navíc.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zvítězil a získal tak navíc pět dní, ve kterých se zrodili bohové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Usir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Hor starší,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Sutech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Těchto pět dní se nazývá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epagomenální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dny, a jednalo se o pět posledních dní egyptského roku.</w:t>
      </w:r>
    </w:p>
    <w:p w14:paraId="1DA49E77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4F60099B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Nejvýznamnějším střediskem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bylo město 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"https://wikisofia.cz/w/index.php?title=Hermopolis&amp;action=edit&amp;redlink=1" \o "Hermopolis (stránka neexistuje)" </w:instrTex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924E5A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Hermopolis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(nazvané právě podle řecké podoby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egyptské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Chemenu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(„(Město) osmi“), zda ale šlo o původní prastaré centrum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kutlu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tohoto boha, zůstává otázkou. Dalším významnou oblastí, kde byl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uctíván, byl 15. dolnoegyptský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nom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měl ibise ve svém znaku. Dalšími místy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byla například oáza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Dachla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Serábit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el-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Chádim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 Sinaji.</w:t>
      </w:r>
    </w:p>
    <w:p w14:paraId="325D5900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Dochována jsou také některá pohřebiště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Thovtových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posvátných zvířat. Kousek na západ od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Hermopole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na lokalitě Tuna el-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Gabal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se nachází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Ibeum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katakomby, ve kterých bylo nalezeno </w:t>
      </w: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 xml:space="preserve">mnoho mumií ibisů i paviánů, které byly prodávány poutníkům jako obětiny. Podobné pohřebiště bylo nalezeno i v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Sakkáře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27" w:anchor="cite_note-:1-3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422C18BC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Popis rituálů, které byly v rámci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kultu praktikovány, se ovšem nedochoval a znalosti o jeho kultu jsou minimální.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Thovtův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velekněz v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Hermopoli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 titul „velký pěti“ – těchto pět je vykládáno jako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různí čtyři další bohové, případně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Osmero, které tvoří čtyři páry, nebo které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které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vzniklo zdvojením původních čtyř bohů. Již v Textech pyramid je zmiňován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Thovtův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svátek, a po tomto božstvu byl pojmenován i celý měsíc, ve kterém byly zřejmě pořádány slavnosti na jeho počest.</w:t>
      </w:r>
    </w:p>
    <w:p w14:paraId="30BDC5EE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Kromě oficiálního kultu byl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též předmětem osobní zbožnosti. Jelikož byl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patronem písařů, jak bylo popsáno výše, měli jej písaři každé ráno uctít úlitbou z nádobky na namáčení štětců. Objevuje se i mnoho amuletů 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Thovtovou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podobou, někdy navíc držící oko Horovo oko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wedžat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symbolizující ochranu. </w:t>
      </w:r>
      <w:hyperlink r:id="rId28" w:anchor="cite_note-:2-6" w:history="1">
        <w:r w:rsidRPr="00924E5A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7B5F08EF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07E6B1FD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1" w:tooltip="Skočit nahoru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Boylan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1922.</w:t>
      </w:r>
    </w:p>
    <w:p w14:paraId="3846DF72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0" w:anchor="cite_ref-:0_2-0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1" w:anchor="cite_ref-:0_2-1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2" w:anchor="cite_ref-:0_2-2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175 - 178.</w:t>
      </w:r>
    </w:p>
    <w:p w14:paraId="11F6FC85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3" w:anchor="cite_ref-:1_3-0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3,0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4" w:anchor="cite_ref-:1_3-1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3,1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5" w:anchor="cite_ref-:1_3-2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3,2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215 - 217.</w:t>
      </w:r>
    </w:p>
    <w:p w14:paraId="4B424791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6" w:anchor="cite_ref-4" w:tooltip="Skočit nahoru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 Viz. 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papyrus.</w:t>
      </w:r>
    </w:p>
    <w:p w14:paraId="48C069EE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7" w:anchor="cite_ref-5" w:tooltip="Skočit nahoru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Lichtheim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1980.</w:t>
      </w:r>
    </w:p>
    <w:p w14:paraId="18ACAAA7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8" w:anchor="cite_ref-:2_6-0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6,0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9" w:anchor="cite_ref-:2_6-1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6,1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40" w:anchor="cite_ref-:2_6-2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6,2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Bleeker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1973.</w:t>
      </w:r>
    </w:p>
    <w:p w14:paraId="331B7E51" w14:textId="77777777" w:rsidR="00924E5A" w:rsidRPr="00924E5A" w:rsidRDefault="00924E5A" w:rsidP="00924E5A">
      <w:pPr>
        <w:numPr>
          <w:ilvl w:val="0"/>
          <w:numId w:val="12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41" w:anchor="cite_ref-7" w:tooltip="Skočit nahoru" w:history="1">
        <w:r w:rsidRPr="00924E5A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, De </w:t>
      </w:r>
      <w:proofErr w:type="spellStart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924E5A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</w:t>
      </w:r>
    </w:p>
    <w:p w14:paraId="40C9C55D" w14:textId="77777777" w:rsidR="00924E5A" w:rsidRPr="00924E5A" w:rsidRDefault="00924E5A" w:rsidP="00924E5A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17A555C2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Bleeker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C. J. 1973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Hathor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two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key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figures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religion. Leiden: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Brill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CD7A634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Boylan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P.1922 :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Thoth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Hermes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Egypt: a study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some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aspects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theological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thought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London: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Milford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80FF19B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Derchain-Urtel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M. 1981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à travers ses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épithètes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dans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les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scènes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d'offrandes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temples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d'époque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gréco-romaine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Bruxelles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Fondation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égyptologique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reine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Élisabeth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6B4A38B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AF2FC56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Lichtheim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Miriam 1980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literature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: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readings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III,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Berkeley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: University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California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6C75E37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97617E8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Plútarchos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 J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Griffiths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1970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Plutarch's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Iside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Osiride.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Cardiff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University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Wales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27FF467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Raven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M. 2012 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magic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quest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Thoth's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Secrets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American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 in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1CFD414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Westcar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papyrus ( Buck,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de, 1968 : "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reading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book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Leyden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Nederlandsch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Instituut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voor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Nabije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Oosten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4D07FA1A" w14:textId="77777777" w:rsidR="00924E5A" w:rsidRPr="00924E5A" w:rsidRDefault="00924E5A" w:rsidP="00924E5A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924E5A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924E5A" w:rsidRDefault="00D66D95" w:rsidP="00924E5A"/>
    <w:sectPr w:rsidR="00D66D95" w:rsidRPr="00924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DB779B"/>
    <w:multiLevelType w:val="multilevel"/>
    <w:tmpl w:val="9DC0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EC1A0F"/>
    <w:multiLevelType w:val="multilevel"/>
    <w:tmpl w:val="E43C8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9"/>
  </w:num>
  <w:num w:numId="3" w16cid:durableId="704797758">
    <w:abstractNumId w:val="4"/>
  </w:num>
  <w:num w:numId="4" w16cid:durableId="1248005663">
    <w:abstractNumId w:val="10"/>
  </w:num>
  <w:num w:numId="5" w16cid:durableId="1655447689">
    <w:abstractNumId w:val="2"/>
  </w:num>
  <w:num w:numId="6" w16cid:durableId="2088840880">
    <w:abstractNumId w:val="8"/>
  </w:num>
  <w:num w:numId="7" w16cid:durableId="1524978652">
    <w:abstractNumId w:val="11"/>
  </w:num>
  <w:num w:numId="8" w16cid:durableId="575090789">
    <w:abstractNumId w:val="6"/>
  </w:num>
  <w:num w:numId="9" w16cid:durableId="832185804">
    <w:abstractNumId w:val="7"/>
  </w:num>
  <w:num w:numId="10" w16cid:durableId="681468290">
    <w:abstractNumId w:val="1"/>
  </w:num>
  <w:num w:numId="11" w16cid:durableId="473837202">
    <w:abstractNumId w:val="3"/>
  </w:num>
  <w:num w:numId="12" w16cid:durableId="2854756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1A6464"/>
    <w:rsid w:val="002874CE"/>
    <w:rsid w:val="00382E31"/>
    <w:rsid w:val="00560586"/>
    <w:rsid w:val="0074187B"/>
    <w:rsid w:val="00882887"/>
    <w:rsid w:val="00924E5A"/>
    <w:rsid w:val="00A71496"/>
    <w:rsid w:val="00B553CE"/>
    <w:rsid w:val="00BC15AD"/>
    <w:rsid w:val="00C360D6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461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17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1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39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56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025788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Hor" TargetMode="External"/><Relationship Id="rId18" Type="http://schemas.openxmlformats.org/officeDocument/2006/relationships/hyperlink" Target="https://wikisofia.cz/wiki/Thovt" TargetMode="External"/><Relationship Id="rId26" Type="http://schemas.openxmlformats.org/officeDocument/2006/relationships/hyperlink" Target="https://wikisofia.cz/wiki/Nov%C3%A1_%C5%99%C3%AD%C5%A1e" TargetMode="External"/><Relationship Id="rId39" Type="http://schemas.openxmlformats.org/officeDocument/2006/relationships/hyperlink" Target="https://wikisofia.cz/wiki/Thovt" TargetMode="External"/><Relationship Id="rId21" Type="http://schemas.openxmlformats.org/officeDocument/2006/relationships/hyperlink" Target="https://wikisofia.cz/wiki/Thovt" TargetMode="External"/><Relationship Id="rId34" Type="http://schemas.openxmlformats.org/officeDocument/2006/relationships/hyperlink" Target="https://wikisofia.cz/wiki/Thovt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wikisofia.cz/wiki/Thov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Thovt" TargetMode="External"/><Relationship Id="rId20" Type="http://schemas.openxmlformats.org/officeDocument/2006/relationships/hyperlink" Target="https://wikisofia.cz/wiki/Papyrus_Westcar" TargetMode="External"/><Relationship Id="rId29" Type="http://schemas.openxmlformats.org/officeDocument/2006/relationships/hyperlink" Target="https://wikisofia.cz/wiki/Thovt" TargetMode="External"/><Relationship Id="rId41" Type="http://schemas.openxmlformats.org/officeDocument/2006/relationships/hyperlink" Target="https://wikisofia.cz/wiki/Thov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Kopt%C5%A1tina" TargetMode="External"/><Relationship Id="rId11" Type="http://schemas.openxmlformats.org/officeDocument/2006/relationships/hyperlink" Target="https://wikisofia.cz/wiki/Re" TargetMode="External"/><Relationship Id="rId24" Type="http://schemas.openxmlformats.org/officeDocument/2006/relationships/hyperlink" Target="https://wikisofia.cz/wiki/Thovt" TargetMode="External"/><Relationship Id="rId32" Type="http://schemas.openxmlformats.org/officeDocument/2006/relationships/hyperlink" Target="https://wikisofia.cz/wiki/Thovt" TargetMode="External"/><Relationship Id="rId37" Type="http://schemas.openxmlformats.org/officeDocument/2006/relationships/hyperlink" Target="https://wikisofia.cz/wiki/Thovt" TargetMode="External"/><Relationship Id="rId40" Type="http://schemas.openxmlformats.org/officeDocument/2006/relationships/hyperlink" Target="https://wikisofia.cz/wiki/Thovt" TargetMode="External"/><Relationship Id="rId5" Type="http://schemas.openxmlformats.org/officeDocument/2006/relationships/hyperlink" Target="https://wikisofia.cz/wiki/Star%C3%A1_%C5%99%C3%AD%C5%A1e" TargetMode="External"/><Relationship Id="rId15" Type="http://schemas.openxmlformats.org/officeDocument/2006/relationships/hyperlink" Target="https://wikisofia.cz/wiki/Thovt" TargetMode="External"/><Relationship Id="rId23" Type="http://schemas.openxmlformats.org/officeDocument/2006/relationships/hyperlink" Target="https://wikisofia.cz/wiki/Thovt" TargetMode="External"/><Relationship Id="rId28" Type="http://schemas.openxmlformats.org/officeDocument/2006/relationships/hyperlink" Target="https://wikisofia.cz/wiki/Thovt" TargetMode="External"/><Relationship Id="rId36" Type="http://schemas.openxmlformats.org/officeDocument/2006/relationships/hyperlink" Target="https://wikisofia.cz/wiki/Thovt" TargetMode="External"/><Relationship Id="rId10" Type="http://schemas.openxmlformats.org/officeDocument/2006/relationships/hyperlink" Target="https://wikisofia.cz/wiki/Texty_pyramid" TargetMode="External"/><Relationship Id="rId19" Type="http://schemas.openxmlformats.org/officeDocument/2006/relationships/hyperlink" Target="https://wikisofia.cz/wiki/St%C5%99edn%C3%AD_%C5%99%C3%AD%C5%A1e" TargetMode="External"/><Relationship Id="rId31" Type="http://schemas.openxmlformats.org/officeDocument/2006/relationships/hyperlink" Target="https://wikisofia.cz/wiki/Thov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ikisofia.cz/wiki/Thovt" TargetMode="External"/><Relationship Id="rId22" Type="http://schemas.openxmlformats.org/officeDocument/2006/relationships/hyperlink" Target="https://wikisofia.cz/w/index.php?title=Setne_Chamuaset&amp;action=edit&amp;redlink=1" TargetMode="External"/><Relationship Id="rId27" Type="http://schemas.openxmlformats.org/officeDocument/2006/relationships/hyperlink" Target="https://wikisofia.cz/wiki/Thovt" TargetMode="External"/><Relationship Id="rId30" Type="http://schemas.openxmlformats.org/officeDocument/2006/relationships/hyperlink" Target="https://wikisofia.cz/wiki/Thovt" TargetMode="External"/><Relationship Id="rId35" Type="http://schemas.openxmlformats.org/officeDocument/2006/relationships/hyperlink" Target="https://wikisofia.cz/wiki/Thovt" TargetMode="External"/><Relationship Id="rId43" Type="http://schemas.openxmlformats.org/officeDocument/2006/relationships/theme" Target="theme/theme1.xml"/><Relationship Id="rId8" Type="http://schemas.openxmlformats.org/officeDocument/2006/relationships/hyperlink" Target="https://wikisofia.cz/wiki/Soubor:Thoth.svg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ikisofia.cz/w/index.php?title=Spor_Hora_se_Sutechem&amp;action=edit&amp;redlink=1" TargetMode="External"/><Relationship Id="rId17" Type="http://schemas.openxmlformats.org/officeDocument/2006/relationships/hyperlink" Target="https://wikisofia.cz/wiki/Thovt" TargetMode="External"/><Relationship Id="rId25" Type="http://schemas.openxmlformats.org/officeDocument/2006/relationships/hyperlink" Target="https://wikisofia.cz/wiki/Thovt" TargetMode="External"/><Relationship Id="rId33" Type="http://schemas.openxmlformats.org/officeDocument/2006/relationships/hyperlink" Target="https://wikisofia.cz/wiki/Thovt" TargetMode="External"/><Relationship Id="rId38" Type="http://schemas.openxmlformats.org/officeDocument/2006/relationships/hyperlink" Target="https://wikisofia.cz/wiki/Thov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1894</Words>
  <Characters>11181</Characters>
  <Application>Microsoft Office Word</Application>
  <DocSecurity>0</DocSecurity>
  <Lines>93</Lines>
  <Paragraphs>26</Paragraphs>
  <ScaleCrop>false</ScaleCrop>
  <Company/>
  <LinksUpToDate>false</LinksUpToDate>
  <CharactersWithSpaces>13049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2023-02-15T06:01:00Z</dcterms:created>
  <dcterms:modified xsi:type="dcterms:W3CDTF">2023-02-15T06:01:00Z</dcterms:modified>
</cp:coreProperties>
</file>